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CA25" w14:textId="16EAB138" w:rsidR="007D2794" w:rsidRPr="002E47B9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451EA7">
        <w:rPr>
          <w:b/>
          <w:snapToGrid w:val="0"/>
          <w:sz w:val="22"/>
          <w:szCs w:val="22"/>
        </w:rPr>
        <w:t>Počet stran :</w:t>
      </w:r>
      <w:r w:rsidR="00832A4A">
        <w:rPr>
          <w:b/>
          <w:snapToGrid w:val="0"/>
          <w:sz w:val="22"/>
          <w:szCs w:val="22"/>
          <w:lang w:val="cs-CZ"/>
        </w:rPr>
        <w:t>5</w:t>
      </w:r>
    </w:p>
    <w:p w14:paraId="3364AE8E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8895182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0708AC7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CDFD17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637358B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B1F139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2402B2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2C53F9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424EF9F" w14:textId="2C78A88C" w:rsidR="007D2794" w:rsidRPr="001069F2" w:rsidRDefault="001069F2" w:rsidP="001069F2">
      <w:pPr>
        <w:pStyle w:val="Zkladn"/>
        <w:jc w:val="center"/>
        <w:rPr>
          <w:b/>
          <w:bCs/>
          <w:snapToGrid w:val="0"/>
          <w:sz w:val="36"/>
          <w:szCs w:val="36"/>
          <w:lang w:val="cs-CZ"/>
        </w:rPr>
      </w:pPr>
      <w:r>
        <w:rPr>
          <w:b/>
          <w:bCs/>
          <w:snapToGrid w:val="0"/>
          <w:sz w:val="36"/>
          <w:szCs w:val="36"/>
          <w:lang w:val="cs-CZ"/>
        </w:rPr>
        <w:t xml:space="preserve">   </w:t>
      </w:r>
      <w:r w:rsidR="004352F2" w:rsidRPr="001069F2">
        <w:rPr>
          <w:b/>
          <w:bCs/>
          <w:snapToGrid w:val="0"/>
          <w:sz w:val="36"/>
          <w:szCs w:val="36"/>
          <w:lang w:val="cs-CZ"/>
        </w:rPr>
        <w:t>SO 01 – BROUZDALIŠTĚ A BRODÍTKA</w:t>
      </w:r>
    </w:p>
    <w:p w14:paraId="7809A551" w14:textId="4C50AD5E" w:rsidR="007D2794" w:rsidRPr="007D2794" w:rsidRDefault="001069F2" w:rsidP="001069F2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1069F2">
        <w:rPr>
          <w:b/>
          <w:bCs/>
          <w:caps/>
          <w:snapToGrid w:val="0"/>
          <w:sz w:val="44"/>
          <w:szCs w:val="40"/>
          <w:lang w:val="cs-CZ"/>
        </w:rPr>
        <w:t xml:space="preserve">D.01.01 </w:t>
      </w:r>
      <w:r w:rsidR="005A6848" w:rsidRPr="001069F2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2517FD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45B5E9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0486E4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5BB155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52FC23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43A96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B0EEB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CC18DC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86831AD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046B0C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2F7E66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B4FEFA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A92CB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9251C8E" w14:textId="41C5CC75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b/>
          <w:bCs/>
          <w:sz w:val="24"/>
          <w:szCs w:val="24"/>
        </w:rPr>
        <w:t xml:space="preserve">Rekonstrukce brouzdaliště na koupališti </w:t>
      </w:r>
      <w:proofErr w:type="spellStart"/>
      <w:r w:rsidR="00B61AF2">
        <w:rPr>
          <w:rFonts w:ascii="Times New Roman" w:hAnsi="Times New Roman" w:cs="Times New Roman"/>
          <w:b/>
          <w:bCs/>
          <w:sz w:val="24"/>
          <w:szCs w:val="24"/>
        </w:rPr>
        <w:t>Baťov</w:t>
      </w:r>
      <w:proofErr w:type="spellEnd"/>
    </w:p>
    <w:p w14:paraId="2FC556A4" w14:textId="4618CACF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sz w:val="24"/>
          <w:szCs w:val="24"/>
        </w:rPr>
        <w:t>Mánesova 1629, 765 02 Otrokovice</w:t>
      </w:r>
    </w:p>
    <w:p w14:paraId="4099B05D" w14:textId="7E6A3146" w:rsidR="007D2794" w:rsidRPr="0008014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080143">
        <w:rPr>
          <w:rFonts w:ascii="Times New Roman" w:hAnsi="Times New Roman" w:cs="Times New Roman"/>
          <w:bCs/>
          <w:sz w:val="24"/>
          <w:szCs w:val="24"/>
        </w:rPr>
        <w:t>Investor:</w:t>
      </w:r>
      <w:r w:rsidRPr="00080143">
        <w:rPr>
          <w:rFonts w:ascii="Times New Roman" w:hAnsi="Times New Roman" w:cs="Times New Roman"/>
          <w:bCs/>
          <w:sz w:val="24"/>
          <w:szCs w:val="24"/>
        </w:rPr>
        <w:tab/>
      </w:r>
      <w:r w:rsidR="00B61AF2" w:rsidRPr="00080143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630FB101" w14:textId="34CCCD22" w:rsidR="007D2794" w:rsidRPr="0008014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080143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080143">
        <w:rPr>
          <w:rFonts w:ascii="Times New Roman" w:hAnsi="Times New Roman" w:cs="Times New Roman"/>
          <w:sz w:val="24"/>
          <w:szCs w:val="24"/>
        </w:rPr>
        <w:tab/>
      </w:r>
      <w:r w:rsidR="00234665" w:rsidRPr="00080143">
        <w:rPr>
          <w:rFonts w:ascii="Times New Roman" w:hAnsi="Times New Roman" w:cs="Times New Roman"/>
          <w:sz w:val="24"/>
          <w:szCs w:val="24"/>
        </w:rPr>
        <w:t>DPS</w:t>
      </w:r>
    </w:p>
    <w:p w14:paraId="6C066FAB" w14:textId="5C943447" w:rsidR="007D2794" w:rsidRPr="0008014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080143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080143">
        <w:rPr>
          <w:rFonts w:ascii="Times New Roman" w:hAnsi="Times New Roman" w:cs="Times New Roman"/>
          <w:sz w:val="24"/>
          <w:szCs w:val="24"/>
        </w:rPr>
        <w:t>. projektant:</w:t>
      </w:r>
      <w:r w:rsidRPr="00080143">
        <w:rPr>
          <w:rFonts w:ascii="Times New Roman" w:hAnsi="Times New Roman" w:cs="Times New Roman"/>
          <w:sz w:val="24"/>
          <w:szCs w:val="24"/>
        </w:rPr>
        <w:tab/>
      </w:r>
      <w:r w:rsidR="00B61AF2" w:rsidRPr="00080143">
        <w:rPr>
          <w:rFonts w:ascii="Times New Roman" w:hAnsi="Times New Roman" w:cs="Times New Roman"/>
          <w:sz w:val="24"/>
          <w:szCs w:val="24"/>
        </w:rPr>
        <w:t>Jaroslav Pavelka</w:t>
      </w:r>
    </w:p>
    <w:p w14:paraId="4DF6DA12" w14:textId="308CDBF5" w:rsidR="007D2794" w:rsidRPr="0008014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014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080143">
        <w:rPr>
          <w:rFonts w:ascii="Times New Roman" w:hAnsi="Times New Roman" w:cs="Times New Roman"/>
          <w:sz w:val="24"/>
          <w:szCs w:val="24"/>
        </w:rPr>
        <w:t>. číslo:</w:t>
      </w:r>
      <w:r w:rsidRPr="00080143">
        <w:rPr>
          <w:rFonts w:ascii="Times New Roman" w:hAnsi="Times New Roman" w:cs="Times New Roman"/>
          <w:sz w:val="24"/>
          <w:szCs w:val="24"/>
        </w:rPr>
        <w:tab/>
      </w:r>
      <w:r w:rsidR="00B61AF2" w:rsidRPr="00080143">
        <w:rPr>
          <w:rFonts w:ascii="Times New Roman" w:hAnsi="Times New Roman" w:cs="Times New Roman"/>
          <w:b/>
          <w:sz w:val="24"/>
          <w:szCs w:val="24"/>
        </w:rPr>
        <w:t>068-20</w:t>
      </w:r>
    </w:p>
    <w:p w14:paraId="1218D48F" w14:textId="685F6DCF" w:rsidR="007D2794" w:rsidRPr="0008014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080143">
        <w:rPr>
          <w:rFonts w:ascii="Times New Roman" w:hAnsi="Times New Roman" w:cs="Times New Roman"/>
          <w:sz w:val="24"/>
          <w:szCs w:val="24"/>
        </w:rPr>
        <w:t>Arch. č.:</w:t>
      </w:r>
      <w:r w:rsidRPr="00080143">
        <w:rPr>
          <w:rFonts w:ascii="Times New Roman" w:hAnsi="Times New Roman" w:cs="Times New Roman"/>
          <w:sz w:val="24"/>
          <w:szCs w:val="24"/>
        </w:rPr>
        <w:tab/>
      </w:r>
      <w:r w:rsidR="00B61AF2" w:rsidRPr="00080143">
        <w:rPr>
          <w:rFonts w:ascii="Times New Roman" w:hAnsi="Times New Roman" w:cs="Times New Roman"/>
          <w:b/>
          <w:sz w:val="24"/>
          <w:szCs w:val="24"/>
        </w:rPr>
        <w:t>06820</w:t>
      </w:r>
    </w:p>
    <w:p w14:paraId="5D9F3AA1" w14:textId="2425346B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080143">
        <w:rPr>
          <w:rFonts w:ascii="Times New Roman" w:hAnsi="Times New Roman" w:cs="Times New Roman"/>
          <w:sz w:val="24"/>
          <w:szCs w:val="24"/>
        </w:rPr>
        <w:t>Datum:</w:t>
      </w:r>
      <w:r w:rsidRPr="00080143">
        <w:rPr>
          <w:rFonts w:ascii="Times New Roman" w:hAnsi="Times New Roman" w:cs="Times New Roman"/>
          <w:b/>
          <w:sz w:val="24"/>
          <w:szCs w:val="24"/>
        </w:rPr>
        <w:tab/>
      </w:r>
      <w:r w:rsidR="00BC3A1B" w:rsidRPr="00080143">
        <w:rPr>
          <w:rFonts w:ascii="Times New Roman" w:hAnsi="Times New Roman" w:cs="Times New Roman"/>
          <w:b/>
          <w:sz w:val="24"/>
          <w:szCs w:val="24"/>
        </w:rPr>
        <w:t>listopad</w:t>
      </w:r>
      <w:r w:rsidR="00B61AF2" w:rsidRPr="00080143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409913AC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4B947783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9C81D" w14:textId="77777777" w:rsidR="007E757C" w:rsidRPr="006127D6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6127D6">
            <w:rPr>
              <w:rFonts w:ascii="Times New Roman" w:hAnsi="Times New Roman" w:cs="Times New Roman"/>
              <w:color w:val="auto"/>
            </w:rPr>
            <w:t>Obsah</w:t>
          </w:r>
        </w:p>
        <w:p w14:paraId="3DD3CE76" w14:textId="4992C81A" w:rsidR="006127D6" w:rsidRPr="006127D6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 w:rsidRPr="006127D6">
            <w:rPr>
              <w:rFonts w:ascii="Times New Roman" w:hAnsi="Times New Roman" w:cs="Times New Roman"/>
            </w:rPr>
            <w:fldChar w:fldCharType="begin"/>
          </w:r>
          <w:r w:rsidRPr="006127D6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6127D6">
            <w:rPr>
              <w:rFonts w:ascii="Times New Roman" w:hAnsi="Times New Roman" w:cs="Times New Roman"/>
            </w:rPr>
            <w:fldChar w:fldCharType="separate"/>
          </w:r>
          <w:hyperlink w:anchor="_Toc56510892" w:history="1"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6127D6" w:rsidRPr="006127D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instrText xml:space="preserve"> PAGEREF _Toc56510892 \h </w:instrTex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80BB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A46AA0" w14:textId="48CCB1E7" w:rsidR="006127D6" w:rsidRPr="006127D6" w:rsidRDefault="005539DD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0893" w:history="1"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="006127D6" w:rsidRPr="006127D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instrText xml:space="preserve"> PAGEREF _Toc56510893 \h </w:instrTex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80BB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9B22DE" w14:textId="5F5062CF" w:rsidR="006127D6" w:rsidRPr="006127D6" w:rsidRDefault="005539DD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0894" w:history="1"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="006127D6" w:rsidRPr="006127D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instrText xml:space="preserve"> PAGEREF _Toc56510894 \h </w:instrTex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80BB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954E9B" w14:textId="4B1634B7" w:rsidR="006127D6" w:rsidRPr="006127D6" w:rsidRDefault="005539DD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0895" w:history="1"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D.2</w:t>
            </w:r>
            <w:r w:rsidR="006127D6" w:rsidRPr="006127D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6127D6" w:rsidRPr="006127D6">
              <w:rPr>
                <w:rStyle w:val="Hypertextovodkaz"/>
                <w:rFonts w:ascii="Times New Roman" w:hAnsi="Times New Roman" w:cs="Times New Roman"/>
                <w:noProof/>
              </w:rPr>
              <w:t>Dokumentace technických a technologických zařízení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instrText xml:space="preserve"> PAGEREF _Toc56510895 \h </w:instrTex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80BB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6127D6" w:rsidRPr="006127D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31EA2C" w14:textId="5FF558E0" w:rsidR="007E757C" w:rsidRPr="002E47B9" w:rsidRDefault="00282659">
          <w:pPr>
            <w:rPr>
              <w:rFonts w:ascii="Times New Roman" w:hAnsi="Times New Roman" w:cs="Times New Roman"/>
            </w:rPr>
          </w:pPr>
          <w:r w:rsidRPr="006127D6">
            <w:rPr>
              <w:rFonts w:ascii="Times New Roman" w:hAnsi="Times New Roman" w:cs="Times New Roman"/>
            </w:rPr>
            <w:fldChar w:fldCharType="end"/>
          </w:r>
        </w:p>
      </w:sdtContent>
    </w:sdt>
    <w:p w14:paraId="04F1782C" w14:textId="77777777" w:rsidR="007E757C" w:rsidRPr="002E47B9" w:rsidRDefault="007E757C">
      <w:pPr>
        <w:rPr>
          <w:rFonts w:ascii="Times New Roman" w:hAnsi="Times New Roman" w:cs="Times New Roman"/>
        </w:rPr>
      </w:pPr>
      <w:r w:rsidRPr="002E47B9">
        <w:rPr>
          <w:rFonts w:ascii="Times New Roman" w:hAnsi="Times New Roman" w:cs="Times New Roman"/>
        </w:rPr>
        <w:br w:type="page"/>
      </w:r>
    </w:p>
    <w:p w14:paraId="3E9BEFD3" w14:textId="77777777" w:rsidR="007E757C" w:rsidRDefault="00D55FD7" w:rsidP="00D55FD7">
      <w:pPr>
        <w:pStyle w:val="KMnadpis1"/>
      </w:pPr>
      <w:bookmarkStart w:id="0" w:name="_Toc56510892"/>
      <w:r>
        <w:lastRenderedPageBreak/>
        <w:t>Dokumentace stavebního nebo inženýrského objektu</w:t>
      </w:r>
      <w:bookmarkEnd w:id="0"/>
    </w:p>
    <w:p w14:paraId="7F4C4232" w14:textId="77777777" w:rsidR="00896A37" w:rsidRDefault="00482A10" w:rsidP="00482A10">
      <w:pPr>
        <w:pStyle w:val="KMnadpis2"/>
      </w:pPr>
      <w:bookmarkStart w:id="1" w:name="_Toc56510893"/>
      <w:r>
        <w:t>Architektonicko-stavební řešení</w:t>
      </w:r>
      <w:bookmarkEnd w:id="1"/>
    </w:p>
    <w:p w14:paraId="2B94827C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7B5E8E82" w14:textId="77777777" w:rsidR="00484422" w:rsidRPr="001B3A94" w:rsidRDefault="00484422" w:rsidP="00C11FCE">
      <w:pPr>
        <w:pStyle w:val="KMnormal"/>
        <w:ind w:left="2124"/>
        <w:rPr>
          <w:u w:val="single"/>
        </w:rPr>
      </w:pPr>
      <w:r w:rsidRPr="001B3A94">
        <w:rPr>
          <w:u w:val="single"/>
        </w:rPr>
        <w:t>Účel objektu</w:t>
      </w:r>
    </w:p>
    <w:p w14:paraId="5ECE6666" w14:textId="556901BE" w:rsidR="004F6551" w:rsidRDefault="004F6551" w:rsidP="001069F2">
      <w:pPr>
        <w:pStyle w:val="KMnormal"/>
        <w:ind w:left="2124"/>
        <w:jc w:val="both"/>
        <w:rPr>
          <w:rStyle w:val="eop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Jedná se o objekt občanské </w:t>
      </w:r>
      <w:proofErr w:type="gramStart"/>
      <w:r>
        <w:rPr>
          <w:rStyle w:val="normaltextrun"/>
          <w:color w:val="000000"/>
          <w:shd w:val="clear" w:color="auto" w:fill="FFFFFF"/>
        </w:rPr>
        <w:t>vybavenosti - stavbu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dětského brouzdaliště, na místě odstraněného brouzdaliště, doplněného</w:t>
      </w:r>
      <w:r w:rsidR="00EC591F">
        <w:rPr>
          <w:rStyle w:val="normaltextrun"/>
          <w:color w:val="000000"/>
          <w:shd w:val="clear" w:color="auto" w:fill="FFFFFF"/>
        </w:rPr>
        <w:t xml:space="preserve"> vodní atrakce</w:t>
      </w:r>
      <w:r>
        <w:rPr>
          <w:rStyle w:val="normaltextrun"/>
          <w:color w:val="000000"/>
          <w:shd w:val="clear" w:color="auto" w:fill="FFFFFF"/>
        </w:rPr>
        <w:t xml:space="preserve"> o vodní skluzavky do prostoru velkého bazénu, novou úpravnu bazénové vody a strojovnu pro vodní atrakce. Objekt leží na okraji zastavěného území. </w:t>
      </w:r>
      <w:r>
        <w:rPr>
          <w:rStyle w:val="eop"/>
          <w:color w:val="000000"/>
          <w:shd w:val="clear" w:color="auto" w:fill="FFFFFF"/>
        </w:rPr>
        <w:t> </w:t>
      </w:r>
    </w:p>
    <w:p w14:paraId="656224BD" w14:textId="364060CD" w:rsidR="00336E70" w:rsidRDefault="00D44739" w:rsidP="00C11FCE">
      <w:pPr>
        <w:pStyle w:val="KMnormal"/>
        <w:ind w:left="2124"/>
        <w:rPr>
          <w:u w:val="single"/>
        </w:rPr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</w:p>
    <w:p w14:paraId="03D716CB" w14:textId="6BCF17C7" w:rsidR="00D44739" w:rsidRPr="00793A87" w:rsidRDefault="00506B51" w:rsidP="00C11FCE">
      <w:pPr>
        <w:pStyle w:val="KMnormal"/>
        <w:ind w:left="2124"/>
        <w:rPr>
          <w:u w:val="single"/>
        </w:rPr>
      </w:pPr>
      <w:r>
        <w:rPr>
          <w:rStyle w:val="normaltextrun"/>
          <w:color w:val="000000"/>
          <w:shd w:val="clear" w:color="auto" w:fill="FFFFFF"/>
        </w:rPr>
        <w:t>Nové brouzdaliště je navrženo, jako průnik níže položeného čtverce a výše položeného obdélníku. Konstrukční návrh je řešen z železobetonu. Finální povrh bude proveden z těžké bazénové fólie.</w:t>
      </w:r>
    </w:p>
    <w:p w14:paraId="173ECA7C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7679AB41" w14:textId="1792FFCC" w:rsidR="001237BD" w:rsidRDefault="00086DB4" w:rsidP="00E67ADA">
      <w:pPr>
        <w:pStyle w:val="KMnormal"/>
      </w:pPr>
      <w:r w:rsidRPr="00080143">
        <w:t>D</w:t>
      </w:r>
      <w:r w:rsidR="00324694" w:rsidRPr="00080143">
        <w:t>.</w:t>
      </w:r>
      <w:r w:rsidR="00D964DA" w:rsidRPr="00080143">
        <w:t>01</w:t>
      </w:r>
      <w:r w:rsidR="000027C5" w:rsidRPr="00080143">
        <w:t xml:space="preserve">.02 </w:t>
      </w:r>
      <w:r w:rsidR="00476471" w:rsidRPr="00080143">
        <w:t>–</w:t>
      </w:r>
      <w:r w:rsidR="000027C5" w:rsidRPr="00080143">
        <w:t xml:space="preserve"> </w:t>
      </w:r>
      <w:r w:rsidR="00D964DA" w:rsidRPr="00080143">
        <w:t>ČISTÉ ZÓNY</w:t>
      </w:r>
      <w:r w:rsidR="00972AFD" w:rsidRPr="00080143">
        <w:br/>
      </w:r>
      <w:r w:rsidR="009F4A00" w:rsidRPr="00080143">
        <w:t>D.</w:t>
      </w:r>
      <w:r w:rsidR="00D964DA" w:rsidRPr="00080143">
        <w:t>0</w:t>
      </w:r>
      <w:r w:rsidR="009F4A00" w:rsidRPr="00080143">
        <w:t xml:space="preserve">1.03 – BROUZDALIŠTĚ – </w:t>
      </w:r>
      <w:r w:rsidR="00D964DA" w:rsidRPr="00080143">
        <w:t>PŮDORYS</w:t>
      </w:r>
      <w:r w:rsidR="009F4A00" w:rsidRPr="00080143">
        <w:t xml:space="preserve"> </w:t>
      </w:r>
      <w:r w:rsidR="00972AFD" w:rsidRPr="00080143">
        <w:br/>
      </w:r>
      <w:r w:rsidR="008319DC" w:rsidRPr="00080143">
        <w:t>D.</w:t>
      </w:r>
      <w:r w:rsidR="00D964DA" w:rsidRPr="00080143">
        <w:t>0</w:t>
      </w:r>
      <w:r w:rsidR="008319DC" w:rsidRPr="00080143">
        <w:t>1.</w:t>
      </w:r>
      <w:r w:rsidR="00032400" w:rsidRPr="00080143">
        <w:t xml:space="preserve">04 – </w:t>
      </w:r>
      <w:r w:rsidR="003B3D8E" w:rsidRPr="00080143">
        <w:t xml:space="preserve">BROUZDALIŠTĚ – ŘEZY </w:t>
      </w:r>
      <w:r w:rsidR="00E67ADA" w:rsidRPr="00080143">
        <w:br/>
        <w:t>D.</w:t>
      </w:r>
      <w:r w:rsidR="00D964DA" w:rsidRPr="00080143">
        <w:t>0</w:t>
      </w:r>
      <w:r w:rsidR="00E67ADA" w:rsidRPr="00080143">
        <w:t xml:space="preserve">1.05 – </w:t>
      </w:r>
      <w:r w:rsidR="003B3D8E" w:rsidRPr="00080143">
        <w:t>BROUZDALIŠTĚ – ŘEZ B</w:t>
      </w:r>
      <w:r w:rsidR="006127D6" w:rsidRPr="00080143">
        <w:t>-B‘ + DETAIL A</w:t>
      </w:r>
      <w:r w:rsidR="00972AFD" w:rsidRPr="00080143">
        <w:br/>
      </w:r>
      <w:r w:rsidR="001237BD" w:rsidRPr="00080143">
        <w:t>D.</w:t>
      </w:r>
      <w:r w:rsidR="00C477A0" w:rsidRPr="00080143">
        <w:t>01.0</w:t>
      </w:r>
      <w:r w:rsidR="00D964DA" w:rsidRPr="00080143">
        <w:t>6</w:t>
      </w:r>
      <w:r w:rsidR="00C477A0" w:rsidRPr="00080143">
        <w:t xml:space="preserve"> – </w:t>
      </w:r>
      <w:r w:rsidR="006127D6" w:rsidRPr="00080143">
        <w:t>BROUZDALIŠTĚ – ŘEZ C-C‘ + DETAIL B</w:t>
      </w:r>
      <w:r w:rsidR="0044409C" w:rsidRPr="00080143">
        <w:br/>
        <w:t>D.01.07 – BRODÍTKO B1, B2, B3</w:t>
      </w:r>
      <w:r w:rsidR="0044409C" w:rsidRPr="00080143">
        <w:br/>
        <w:t xml:space="preserve">D.01.08 – </w:t>
      </w:r>
      <w:r w:rsidR="006127D6" w:rsidRPr="00080143">
        <w:t>3D TVAR BAZÉNOVÉHO TĚLESA</w:t>
      </w:r>
    </w:p>
    <w:p w14:paraId="6E264B1F" w14:textId="77777777" w:rsidR="00482A10" w:rsidRDefault="00EF3FFA" w:rsidP="00482A10">
      <w:pPr>
        <w:pStyle w:val="KMnadpis2"/>
      </w:pPr>
      <w:bookmarkStart w:id="2" w:name="_Toc56510894"/>
      <w:r>
        <w:t>Stavebně konstrukční řešení</w:t>
      </w:r>
      <w:bookmarkEnd w:id="2"/>
    </w:p>
    <w:p w14:paraId="4E1CD960" w14:textId="77777777" w:rsidR="004838A6" w:rsidRDefault="004838A6" w:rsidP="004838A6">
      <w:pPr>
        <w:pStyle w:val="KMnadpis3"/>
        <w:numPr>
          <w:ilvl w:val="0"/>
          <w:numId w:val="43"/>
        </w:numPr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547EEDEA" w14:textId="692AD62E" w:rsidR="00C74F38" w:rsidRPr="009D6984" w:rsidRDefault="004A17DE" w:rsidP="009D6984">
      <w:pPr>
        <w:pStyle w:val="KMnormal"/>
        <w:rPr>
          <w:u w:val="single"/>
        </w:rPr>
      </w:pPr>
      <w:r w:rsidRPr="004A17DE">
        <w:rPr>
          <w:u w:val="single"/>
        </w:rPr>
        <w:t>Základy</w:t>
      </w:r>
    </w:p>
    <w:p w14:paraId="0BC69572" w14:textId="304439A8" w:rsidR="004352F2" w:rsidRDefault="00B907AF" w:rsidP="000B5405">
      <w:pPr>
        <w:pStyle w:val="KMnormal"/>
        <w:jc w:val="both"/>
      </w:pPr>
      <w:r>
        <w:t xml:space="preserve">Základ bude tvořen </w:t>
      </w:r>
      <w:r w:rsidR="006463B7">
        <w:t xml:space="preserve">polštářem z hutněného ostrohranného kameniva. </w:t>
      </w:r>
      <w:r w:rsidR="006463B7" w:rsidRPr="006463B7">
        <w:t xml:space="preserve">Základová spára polštáře se předpokládá v úrovni min. 1,5m od terénu. V případě, že se budou v předpokládané hloubce naházet ještě vrstvy navážek nebo jiných </w:t>
      </w:r>
      <w:proofErr w:type="spellStart"/>
      <w:r w:rsidR="006463B7" w:rsidRPr="006463B7">
        <w:t>neulehl</w:t>
      </w:r>
      <w:r w:rsidR="00C578B5">
        <w:t>ý</w:t>
      </w:r>
      <w:r w:rsidR="006463B7" w:rsidRPr="006463B7">
        <w:t>ch</w:t>
      </w:r>
      <w:proofErr w:type="spellEnd"/>
      <w:r w:rsidR="006463B7" w:rsidRPr="006463B7">
        <w:t xml:space="preserve"> zemin bude nutné základovou spáru prohloubit v celém rozsahu až na úroveň rostlého terénu.</w:t>
      </w:r>
    </w:p>
    <w:p w14:paraId="7AC57ABA" w14:textId="0502257D" w:rsidR="006463B7" w:rsidRDefault="006463B7" w:rsidP="000B5405">
      <w:pPr>
        <w:pStyle w:val="KMnormal"/>
        <w:jc w:val="both"/>
      </w:pPr>
    </w:p>
    <w:p w14:paraId="3E64DFE3" w14:textId="77777777" w:rsidR="006463B7" w:rsidRDefault="006463B7" w:rsidP="000B5405">
      <w:pPr>
        <w:pStyle w:val="KMnormal"/>
        <w:jc w:val="both"/>
      </w:pPr>
    </w:p>
    <w:p w14:paraId="6C8033E9" w14:textId="63DC9C1A" w:rsidR="003F7060" w:rsidRPr="00793A87" w:rsidRDefault="003F7060" w:rsidP="00793A87">
      <w:pPr>
        <w:pStyle w:val="KMnormal"/>
        <w:rPr>
          <w:u w:val="single"/>
        </w:rPr>
      </w:pPr>
      <w:r w:rsidRPr="00793A87">
        <w:rPr>
          <w:u w:val="single"/>
        </w:rPr>
        <w:t>Obvodová konstrukce</w:t>
      </w:r>
    </w:p>
    <w:p w14:paraId="6236F8A3" w14:textId="6BA19F41" w:rsidR="00394E83" w:rsidRDefault="00394E83" w:rsidP="00DF62DA">
      <w:pPr>
        <w:pStyle w:val="KMnormal"/>
      </w:pPr>
      <w:r w:rsidRPr="00724C35">
        <w:t>Brodítko</w:t>
      </w:r>
      <w:r w:rsidR="009E7327">
        <w:t>:</w:t>
      </w:r>
      <w:r w:rsidR="00DF62DA">
        <w:br/>
      </w:r>
      <w:r w:rsidR="007A28F2" w:rsidRPr="007A28F2">
        <w:rPr>
          <w:rStyle w:val="normaltextrun"/>
          <w:shd w:val="clear" w:color="auto" w:fill="FFFFFF"/>
        </w:rPr>
        <w:t>Brodítka jsou řešena jako monolitická ŽB konstrukce o rozměrech 2,4 x 2 metry. B</w:t>
      </w:r>
      <w:r w:rsidR="00016F4B" w:rsidRPr="007A28F2">
        <w:t xml:space="preserve">eton C30/37 </w:t>
      </w:r>
      <w:r w:rsidR="000E1F86" w:rsidRPr="007A28F2">
        <w:t>X</w:t>
      </w:r>
      <w:r w:rsidR="00127E04" w:rsidRPr="007A28F2">
        <w:t>D</w:t>
      </w:r>
      <w:r w:rsidR="000E1F86" w:rsidRPr="007A28F2">
        <w:t>2, XF3, XC</w:t>
      </w:r>
      <w:r w:rsidR="003111A7" w:rsidRPr="007A28F2">
        <w:t>2, výztuž B500b</w:t>
      </w:r>
      <w:r w:rsidR="00724C35" w:rsidRPr="007A28F2">
        <w:t>.</w:t>
      </w:r>
    </w:p>
    <w:p w14:paraId="5AB6327F" w14:textId="4C0756C5" w:rsidR="009E7327" w:rsidRPr="00016F4B" w:rsidRDefault="009E7327" w:rsidP="00DF62DA">
      <w:pPr>
        <w:pStyle w:val="KMnormal"/>
      </w:pPr>
      <w:r w:rsidRPr="00384DB6">
        <w:t>Bazén:</w:t>
      </w:r>
      <w:r w:rsidR="00DF62DA">
        <w:br/>
      </w:r>
      <w:r w:rsidR="001635F0" w:rsidRPr="007A28F2">
        <w:t xml:space="preserve">Průnik výše položeného obdélníku </w:t>
      </w:r>
      <w:r w:rsidR="00DD7B5D" w:rsidRPr="007A28F2">
        <w:t xml:space="preserve">a níže položeného čtverce. </w:t>
      </w:r>
      <w:r w:rsidR="00BE6F6F" w:rsidRPr="007A28F2">
        <w:rPr>
          <w:rStyle w:val="normaltextrun"/>
          <w:shd w:val="clear" w:color="auto" w:fill="FFFFFF"/>
        </w:rPr>
        <w:t>Brouzdaliště je řešeno jako ŽB monolitická konstrukce, o rozměrech 12 x 10,6 m, hloubky 0,4 – 0,35 metru a 15,46 x 6,6 metru, hloubky 0,05 – 0,2 metru. b</w:t>
      </w:r>
      <w:r w:rsidR="00C35E61" w:rsidRPr="007A28F2">
        <w:t>eton C30/37 XD2, XF3, XC2, výztuž B500b.</w:t>
      </w:r>
      <w:r w:rsidR="00B9195D" w:rsidRPr="007A28F2">
        <w:t xml:space="preserve"> </w:t>
      </w:r>
      <w:r w:rsidR="00B9195D" w:rsidRPr="007A28F2">
        <w:rPr>
          <w:rStyle w:val="normaltextrun"/>
          <w:color w:val="000000"/>
          <w:shd w:val="clear" w:color="auto" w:fill="FFFFFF"/>
        </w:rPr>
        <w:t>Finální povrh bude proveden z těžké bazénové fólie.</w:t>
      </w:r>
    </w:p>
    <w:p w14:paraId="7AB4AE2E" w14:textId="77777777" w:rsidR="00E15705" w:rsidRDefault="00E15705" w:rsidP="003F7060">
      <w:pPr>
        <w:pStyle w:val="KMnormal"/>
        <w:rPr>
          <w:u w:val="single"/>
        </w:rPr>
      </w:pPr>
      <w:r w:rsidRPr="006412C6">
        <w:rPr>
          <w:u w:val="single"/>
        </w:rPr>
        <w:t>Venkovní úpravy</w:t>
      </w:r>
    </w:p>
    <w:p w14:paraId="5F7AE3CD" w14:textId="1CAC4917" w:rsidR="00DF1EC1" w:rsidRPr="00A94420" w:rsidRDefault="005B011E" w:rsidP="00A94420">
      <w:pPr>
        <w:pStyle w:val="KMnormal"/>
      </w:pPr>
      <w:r w:rsidRPr="007A28F2">
        <w:t xml:space="preserve">V čisté zóně okolo brouzdaliště bude položena </w:t>
      </w:r>
      <w:r w:rsidR="00EE2303" w:rsidRPr="007A28F2">
        <w:t>plošná betonová dlažba</w:t>
      </w:r>
      <w:r w:rsidR="00AC4143" w:rsidRPr="007A28F2">
        <w:t xml:space="preserve"> rozmě</w:t>
      </w:r>
      <w:r w:rsidR="00673D71">
        <w:t>r</w:t>
      </w:r>
      <w:r w:rsidR="009605F9">
        <w:t xml:space="preserve">u 400x400 mm </w:t>
      </w:r>
      <w:r w:rsidR="006B443A">
        <w:t>nebo</w:t>
      </w:r>
      <w:r w:rsidR="00AC4143" w:rsidRPr="007A28F2">
        <w:t xml:space="preserve"> 500x500 mm dle výběru investora</w:t>
      </w:r>
      <w:r w:rsidR="00EE2303" w:rsidRPr="007A28F2">
        <w:t xml:space="preserve">. </w:t>
      </w:r>
    </w:p>
    <w:p w14:paraId="08822B7C" w14:textId="77777777" w:rsidR="004838A6" w:rsidRPr="00080143" w:rsidRDefault="004838A6" w:rsidP="008D345B">
      <w:pPr>
        <w:pStyle w:val="KMnadpis3"/>
        <w:numPr>
          <w:ilvl w:val="0"/>
          <w:numId w:val="43"/>
        </w:numPr>
      </w:pPr>
      <w:r w:rsidRPr="00080143">
        <w:t>Výkresová čás</w:t>
      </w:r>
      <w:r w:rsidR="00BB3311" w:rsidRPr="00080143">
        <w:t>t</w:t>
      </w:r>
      <w:r w:rsidR="000A454B" w:rsidRPr="00080143">
        <w:t>:</w:t>
      </w:r>
    </w:p>
    <w:p w14:paraId="04CAD8C4" w14:textId="7827A463" w:rsidR="00906E8A" w:rsidRDefault="008A4221" w:rsidP="008654B3">
      <w:pPr>
        <w:pStyle w:val="KMnormal"/>
      </w:pPr>
      <w:r w:rsidRPr="00080143">
        <w:t>D.1.2.0</w:t>
      </w:r>
      <w:r w:rsidR="0008645D" w:rsidRPr="00080143">
        <w:t>2</w:t>
      </w:r>
      <w:r w:rsidRPr="00080143">
        <w:t xml:space="preserve"> </w:t>
      </w:r>
      <w:r w:rsidR="001237BD" w:rsidRPr="00080143">
        <w:t>–</w:t>
      </w:r>
      <w:r w:rsidRPr="00080143">
        <w:t xml:space="preserve"> </w:t>
      </w:r>
      <w:r w:rsidR="00AE79F1" w:rsidRPr="00080143">
        <w:t>BROUZDALIŠTĚ – TVAR – část 1</w:t>
      </w:r>
      <w:r w:rsidR="00162C54" w:rsidRPr="00080143">
        <w:br/>
      </w:r>
      <w:r w:rsidR="0008645D" w:rsidRPr="00080143">
        <w:t>D.1.2.03</w:t>
      </w:r>
      <w:r w:rsidR="009F27D6" w:rsidRPr="00080143">
        <w:t xml:space="preserve"> </w:t>
      </w:r>
      <w:r w:rsidR="00293C70" w:rsidRPr="00080143">
        <w:t>–</w:t>
      </w:r>
      <w:r w:rsidR="009F27D6" w:rsidRPr="00080143">
        <w:t xml:space="preserve"> </w:t>
      </w:r>
      <w:r w:rsidR="00293C70" w:rsidRPr="00080143">
        <w:t>BROUZDALIŠTĚ – TVAR – část 2</w:t>
      </w:r>
      <w:r w:rsidR="008654B3" w:rsidRPr="00080143">
        <w:br/>
        <w:t>D.1.2.02. – BROUZDALIŠTĚ – TVAR – část 1</w:t>
      </w:r>
      <w:r w:rsidR="008654B3" w:rsidRPr="00080143">
        <w:br/>
        <w:t xml:space="preserve">D.1.2.03. – BROUZDALIŠTĚ – TVAR – část 2 </w:t>
      </w:r>
      <w:r w:rsidR="008654B3" w:rsidRPr="00080143">
        <w:br/>
        <w:t>D.1.2.04. – BRODÍTKO B1, B2, B3 – TVAR</w:t>
      </w:r>
      <w:r w:rsidR="008654B3" w:rsidRPr="00080143">
        <w:br/>
        <w:t xml:space="preserve">D.1.2.05 – </w:t>
      </w:r>
      <w:proofErr w:type="gramStart"/>
      <w:r w:rsidR="008654B3" w:rsidRPr="00080143">
        <w:t>ZALOŽENÍ - TVAR</w:t>
      </w:r>
      <w:proofErr w:type="gramEnd"/>
      <w:r w:rsidR="008654B3" w:rsidRPr="00080143">
        <w:br/>
        <w:t>D.01.02. – ČISTÉ ZÓNY</w:t>
      </w:r>
    </w:p>
    <w:p w14:paraId="74EA8AD3" w14:textId="77777777" w:rsidR="004838A6" w:rsidRDefault="004838A6" w:rsidP="004838A6">
      <w:pPr>
        <w:pStyle w:val="KMnadpis3"/>
        <w:numPr>
          <w:ilvl w:val="0"/>
          <w:numId w:val="43"/>
        </w:numPr>
      </w:pPr>
      <w:r>
        <w:t>Statické posouzení</w:t>
      </w:r>
      <w:r w:rsidR="00950E7B">
        <w:t xml:space="preserve"> – použité podklad</w:t>
      </w:r>
      <w:r w:rsidR="00344625">
        <w:t>y</w:t>
      </w:r>
      <w:r w:rsidR="00950E7B">
        <w:t xml:space="preserve"> – základní normy, předpisy, údaje o zatíženích a materiálech, ověření základního koncepčního řešení nosné konstrukce; posouzení stability konstrukce; stanovení rozměrů hlavních prvků nosné konstrukce včetně jejího založení, dynamický výpočet, pokud na konstrukci působí dynamické namáhání: </w:t>
      </w:r>
    </w:p>
    <w:p w14:paraId="6238F625" w14:textId="7D0E2693" w:rsidR="0015566C" w:rsidRDefault="0015566C" w:rsidP="00832A4A">
      <w:pPr>
        <w:pStyle w:val="KMnormal"/>
        <w:jc w:val="both"/>
      </w:pPr>
      <w:r>
        <w:t>Stavební objekty brouzdaliště a brodítek jsou navrženy jako plošné na železobetonových základových deskách. Desky mají u brouzdaliště promě</w:t>
      </w:r>
      <w:r w:rsidR="00E7748D">
        <w:t>n</w:t>
      </w:r>
      <w:r>
        <w:t xml:space="preserve">nou tloušťku, která je dána jejím spádováním. Min </w:t>
      </w:r>
      <w:proofErr w:type="spellStart"/>
      <w:r>
        <w:t>tl</w:t>
      </w:r>
      <w:proofErr w:type="spellEnd"/>
      <w:r>
        <w:t>. desky brouzdaliště je však 300</w:t>
      </w:r>
      <w:r w:rsidR="00C578B5">
        <w:t xml:space="preserve"> </w:t>
      </w:r>
      <w:r>
        <w:t xml:space="preserve">mm. Brodítka mají navrženou </w:t>
      </w:r>
      <w:proofErr w:type="spellStart"/>
      <w:r>
        <w:t>tl</w:t>
      </w:r>
      <w:proofErr w:type="spellEnd"/>
      <w:r>
        <w:t>. desky 200</w:t>
      </w:r>
      <w:r w:rsidR="00C578B5">
        <w:t xml:space="preserve"> </w:t>
      </w:r>
      <w:r>
        <w:t>mm. Konstrukce brodítek a brouzdaliště jsou navrženy z betonu třídy C30/</w:t>
      </w:r>
      <w:proofErr w:type="gramStart"/>
      <w:r>
        <w:t>37-XD2</w:t>
      </w:r>
      <w:proofErr w:type="gramEnd"/>
      <w:r>
        <w:t>,</w:t>
      </w:r>
      <w:r w:rsidR="00C578B5">
        <w:t xml:space="preserve"> </w:t>
      </w:r>
      <w:r>
        <w:t>XF3,</w:t>
      </w:r>
      <w:r w:rsidR="00C578B5">
        <w:t xml:space="preserve"> </w:t>
      </w:r>
      <w:r>
        <w:t>XC2 a vyztuženy budou z betonářské výztuže tř. B500b. Desky budou betonovány na podkladní beton z betonu tř. C12/15-X0</w:t>
      </w:r>
      <w:r w:rsidR="00C578B5">
        <w:t>,</w:t>
      </w:r>
      <w:r>
        <w:t xml:space="preserve"> od kteréh</w:t>
      </w:r>
      <w:r w:rsidR="00C578B5">
        <w:t>o</w:t>
      </w:r>
      <w:r>
        <w:t xml:space="preserve"> budou deskové konstrukce separovány vrstvou 2x PE folie tl.0,8mm. Základová spára desek se nachází při povrchu nebo v malé hloubce a je navržena v jemnozrnných soudržných zeminách se nižší únosností, kterou dle dostupného IGP mohou tvořit případné spraše. Z výše uvedených důvodů je pod deskovou základovou konstrukcí navržen roznášecí hutněný polštář z ostrohranného kameniva s plynulou křivkou zrnitosti. Polštáře jsou navrženy ve spodní polovině </w:t>
      </w:r>
      <w:r w:rsidR="00C578B5">
        <w:t>z</w:t>
      </w:r>
      <w:r>
        <w:t xml:space="preserve"> kameniva frakce 32-64</w:t>
      </w:r>
      <w:r w:rsidR="00AC7F5D">
        <w:t xml:space="preserve"> </w:t>
      </w:r>
      <w:r>
        <w:t>mm a v horní polovině z kameniva frakce 16-32</w:t>
      </w:r>
      <w:r w:rsidR="00AC7F5D">
        <w:t xml:space="preserve"> </w:t>
      </w:r>
      <w:r>
        <w:t xml:space="preserve">mm. Hutnění polštářů bude prováděno po vrstvách lehkými hutnícími prostředky. </w:t>
      </w:r>
      <w:r>
        <w:lastRenderedPageBreak/>
        <w:t>Mocnost hutněné vrstvy je dán</w:t>
      </w:r>
      <w:r w:rsidR="00AC7F5D">
        <w:t>a</w:t>
      </w:r>
      <w:r>
        <w:t xml:space="preserve"> účinností použitého hutnícího zařízení, nejvýše však 300</w:t>
      </w:r>
      <w:r w:rsidR="00AC7F5D">
        <w:t xml:space="preserve"> </w:t>
      </w:r>
      <w:r>
        <w:t xml:space="preserve">mm. Poslední hutněná vrstva pod deskou nebo zpevněným povrchem bude provedena tak, aby míra zhutnění pod deskou byla Edef,2=min.80MPa, při Edef,2/Edef,1 </w:t>
      </w:r>
      <w:r w:rsidR="00E7748D" w:rsidRPr="006A7261">
        <w:rPr>
          <w:sz w:val="20"/>
          <w:szCs w:val="20"/>
        </w:rPr>
        <w:sym w:font="Symbol" w:char="F0A3"/>
      </w:r>
      <w:r>
        <w:t xml:space="preserve"> 2,2. Hodnoty Edef,2 je nutno ověřit statickými zatěžovacími zkouškami. </w:t>
      </w:r>
    </w:p>
    <w:p w14:paraId="3E47DDA8" w14:textId="27D1D359" w:rsidR="0015566C" w:rsidRDefault="0015566C" w:rsidP="00832A4A">
      <w:pPr>
        <w:pStyle w:val="KMnormal"/>
        <w:jc w:val="both"/>
      </w:pPr>
      <w:r>
        <w:t>Základová spára polštáře se předpokládá v úrovni min. 1,5</w:t>
      </w:r>
      <w:r w:rsidR="003F573E">
        <w:t xml:space="preserve"> </w:t>
      </w:r>
      <w:r>
        <w:t xml:space="preserve">m od terénu. V případě, že se budou v předpokládané hloubce naházet ještě vrstvy navážek nebo jiných </w:t>
      </w:r>
      <w:proofErr w:type="spellStart"/>
      <w:r>
        <w:t>neulehl</w:t>
      </w:r>
      <w:r w:rsidR="00E7748D">
        <w:t>ý</w:t>
      </w:r>
      <w:r>
        <w:t>ch</w:t>
      </w:r>
      <w:proofErr w:type="spellEnd"/>
      <w:r>
        <w:t xml:space="preserve"> zemin bude nutné základovou spáru prohloubit v celém rozsahu až na úroveň rostlého terénu.</w:t>
      </w:r>
    </w:p>
    <w:p w14:paraId="660F454E" w14:textId="3811E836" w:rsidR="0015566C" w:rsidRDefault="0015566C" w:rsidP="00832A4A">
      <w:pPr>
        <w:pStyle w:val="KMnormal"/>
        <w:jc w:val="both"/>
      </w:pPr>
      <w:r>
        <w:t>Protože je předpoklad výskytu podzemní vody v blízkosti základové spáry či její</w:t>
      </w:r>
      <w:r w:rsidR="00195872">
        <w:t>ho</w:t>
      </w:r>
      <w:r>
        <w:t xml:space="preserve"> možné</w:t>
      </w:r>
      <w:r w:rsidR="00195872">
        <w:t>ho</w:t>
      </w:r>
      <w:r>
        <w:t xml:space="preserve"> výskytu při vyšších vodních stavech</w:t>
      </w:r>
      <w:r w:rsidR="00195872">
        <w:t>,</w:t>
      </w:r>
      <w:r>
        <w:t xml:space="preserve"> bude cel</w:t>
      </w:r>
      <w:r w:rsidR="00195872">
        <w:t xml:space="preserve">ý </w:t>
      </w:r>
      <w:r>
        <w:t>hutněný polštář obalen do dvou vrstev geotextilie.</w:t>
      </w:r>
    </w:p>
    <w:p w14:paraId="64DCC69F" w14:textId="72E2A1EA" w:rsidR="00C31CD4" w:rsidRDefault="0015566C" w:rsidP="00832A4A">
      <w:pPr>
        <w:pStyle w:val="KMnormal"/>
        <w:jc w:val="both"/>
      </w:pPr>
      <w:r>
        <w:t xml:space="preserve">Před betonáží je nutné do konstrukce osadit všechny případné ocelové či jiné kotvící prvky a zejména všechny prostupy.   </w:t>
      </w:r>
    </w:p>
    <w:p w14:paraId="236113CD" w14:textId="71414BB1" w:rsidR="007E757C" w:rsidRDefault="00EF3FFA" w:rsidP="006459C7">
      <w:pPr>
        <w:pStyle w:val="KMnadpis1"/>
      </w:pPr>
      <w:bookmarkStart w:id="3" w:name="_Toc56510895"/>
      <w:r>
        <w:t>Dokumentace technických a technologických zařízení</w:t>
      </w:r>
      <w:bookmarkEnd w:id="3"/>
    </w:p>
    <w:p w14:paraId="5E4161DC" w14:textId="5241B493" w:rsidR="000E3A5E" w:rsidRPr="00F20353" w:rsidRDefault="00E63DEF" w:rsidP="00E63DEF">
      <w:pPr>
        <w:pStyle w:val="KMnormal"/>
        <w:ind w:left="708"/>
      </w:pPr>
      <w:r w:rsidRPr="00832A4A">
        <w:rPr>
          <w:rStyle w:val="normaltextrun"/>
          <w:color w:val="000000"/>
          <w:shd w:val="clear" w:color="auto" w:fill="FFFFFF"/>
        </w:rPr>
        <w:t>Technologická část je řešena v</w:t>
      </w:r>
      <w:r w:rsidRPr="00832A4A">
        <w:rPr>
          <w:rStyle w:val="normaltextrun"/>
          <w:rFonts w:ascii="Calibri" w:hAnsi="Calibri" w:cs="Calibri"/>
          <w:color w:val="000000"/>
          <w:shd w:val="clear" w:color="auto" w:fill="FFFFFF"/>
        </w:rPr>
        <w:t> části projektové dokumentace PD 01 – bazénová technologie.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sectPr w:rsidR="000E3A5E" w:rsidRPr="00F20353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9CB14" w14:textId="77777777" w:rsidR="005539DD" w:rsidRDefault="005539DD" w:rsidP="007D2794">
      <w:pPr>
        <w:spacing w:after="0" w:line="240" w:lineRule="auto"/>
      </w:pPr>
      <w:r>
        <w:separator/>
      </w:r>
    </w:p>
  </w:endnote>
  <w:endnote w:type="continuationSeparator" w:id="0">
    <w:p w14:paraId="3932664B" w14:textId="77777777" w:rsidR="005539DD" w:rsidRDefault="005539DD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0836A52C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36B49CC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F3FDE" w14:textId="77777777" w:rsidR="005539DD" w:rsidRDefault="005539DD" w:rsidP="007D2794">
      <w:pPr>
        <w:spacing w:after="0" w:line="240" w:lineRule="auto"/>
      </w:pPr>
      <w:r>
        <w:separator/>
      </w:r>
    </w:p>
  </w:footnote>
  <w:footnote w:type="continuationSeparator" w:id="0">
    <w:p w14:paraId="23932720" w14:textId="77777777" w:rsidR="005539DD" w:rsidRDefault="005539DD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3AA090CB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DECE97C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6D35DFF" wp14:editId="35C9E4DE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C60B6C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CB0EBC0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A51037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0FE901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0EBCF54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17D89B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81997F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E787B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54E5F0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3CDFA240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9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7"/>
  </w:num>
  <w:num w:numId="26">
    <w:abstractNumId w:val="5"/>
  </w:num>
  <w:num w:numId="27">
    <w:abstractNumId w:val="22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6"/>
  </w:num>
  <w:num w:numId="36">
    <w:abstractNumId w:val="5"/>
  </w:num>
  <w:num w:numId="37">
    <w:abstractNumId w:val="6"/>
  </w:num>
  <w:num w:numId="38">
    <w:abstractNumId w:val="5"/>
  </w:num>
  <w:num w:numId="39">
    <w:abstractNumId w:val="17"/>
  </w:num>
  <w:num w:numId="4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3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0"/>
  </w:num>
  <w:num w:numId="46">
    <w:abstractNumId w:val="5"/>
  </w:num>
  <w:num w:numId="47">
    <w:abstractNumId w:val="5"/>
  </w:num>
  <w:num w:numId="48">
    <w:abstractNumId w:val="5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27C5"/>
    <w:rsid w:val="00010F6E"/>
    <w:rsid w:val="00011CF7"/>
    <w:rsid w:val="00014F16"/>
    <w:rsid w:val="00016F4B"/>
    <w:rsid w:val="00032400"/>
    <w:rsid w:val="000553AD"/>
    <w:rsid w:val="00064E66"/>
    <w:rsid w:val="00077D63"/>
    <w:rsid w:val="00080143"/>
    <w:rsid w:val="00081542"/>
    <w:rsid w:val="0008645D"/>
    <w:rsid w:val="00086DB4"/>
    <w:rsid w:val="00094C60"/>
    <w:rsid w:val="000A454B"/>
    <w:rsid w:val="000B5405"/>
    <w:rsid w:val="000B7A43"/>
    <w:rsid w:val="000C0050"/>
    <w:rsid w:val="000D68D7"/>
    <w:rsid w:val="000E1F86"/>
    <w:rsid w:val="000E3A5E"/>
    <w:rsid w:val="000E7158"/>
    <w:rsid w:val="000F5FF8"/>
    <w:rsid w:val="001069F2"/>
    <w:rsid w:val="00112628"/>
    <w:rsid w:val="00115DC6"/>
    <w:rsid w:val="001237BD"/>
    <w:rsid w:val="00123F7C"/>
    <w:rsid w:val="00127E04"/>
    <w:rsid w:val="0015111C"/>
    <w:rsid w:val="001546FA"/>
    <w:rsid w:val="00154C46"/>
    <w:rsid w:val="0015566C"/>
    <w:rsid w:val="00162C54"/>
    <w:rsid w:val="001635F0"/>
    <w:rsid w:val="00164AC3"/>
    <w:rsid w:val="001657F6"/>
    <w:rsid w:val="0016580A"/>
    <w:rsid w:val="00175C3B"/>
    <w:rsid w:val="00177AD7"/>
    <w:rsid w:val="00183A80"/>
    <w:rsid w:val="00195872"/>
    <w:rsid w:val="001B35C4"/>
    <w:rsid w:val="001B3A94"/>
    <w:rsid w:val="001C76FF"/>
    <w:rsid w:val="001D2117"/>
    <w:rsid w:val="001D4DB8"/>
    <w:rsid w:val="001D7D53"/>
    <w:rsid w:val="001F3C8F"/>
    <w:rsid w:val="002056B9"/>
    <w:rsid w:val="00212193"/>
    <w:rsid w:val="00215728"/>
    <w:rsid w:val="00221576"/>
    <w:rsid w:val="0022705C"/>
    <w:rsid w:val="002345E4"/>
    <w:rsid w:val="00234665"/>
    <w:rsid w:val="00243933"/>
    <w:rsid w:val="00247776"/>
    <w:rsid w:val="002503C3"/>
    <w:rsid w:val="002504AD"/>
    <w:rsid w:val="00282659"/>
    <w:rsid w:val="0028481E"/>
    <w:rsid w:val="00293C70"/>
    <w:rsid w:val="002956D1"/>
    <w:rsid w:val="00295BB7"/>
    <w:rsid w:val="002A31B1"/>
    <w:rsid w:val="002A67FB"/>
    <w:rsid w:val="002C3A5F"/>
    <w:rsid w:val="002C4225"/>
    <w:rsid w:val="002E47B9"/>
    <w:rsid w:val="002E5991"/>
    <w:rsid w:val="003111A7"/>
    <w:rsid w:val="00324694"/>
    <w:rsid w:val="00326355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62C26"/>
    <w:rsid w:val="003768A9"/>
    <w:rsid w:val="0038098A"/>
    <w:rsid w:val="00384DB6"/>
    <w:rsid w:val="00394E83"/>
    <w:rsid w:val="00397261"/>
    <w:rsid w:val="003B3A94"/>
    <w:rsid w:val="003B3D8E"/>
    <w:rsid w:val="003C2129"/>
    <w:rsid w:val="003C40FC"/>
    <w:rsid w:val="003E3DA9"/>
    <w:rsid w:val="003F573E"/>
    <w:rsid w:val="003F5EB0"/>
    <w:rsid w:val="003F7060"/>
    <w:rsid w:val="00401AC3"/>
    <w:rsid w:val="00404AAB"/>
    <w:rsid w:val="00406FF5"/>
    <w:rsid w:val="00411BA3"/>
    <w:rsid w:val="00422A4C"/>
    <w:rsid w:val="00427554"/>
    <w:rsid w:val="00433CD5"/>
    <w:rsid w:val="004352F2"/>
    <w:rsid w:val="00441502"/>
    <w:rsid w:val="00441F44"/>
    <w:rsid w:val="0044409C"/>
    <w:rsid w:val="00444531"/>
    <w:rsid w:val="00444649"/>
    <w:rsid w:val="00444715"/>
    <w:rsid w:val="00451EA7"/>
    <w:rsid w:val="0046634F"/>
    <w:rsid w:val="004742EE"/>
    <w:rsid w:val="00476471"/>
    <w:rsid w:val="00481907"/>
    <w:rsid w:val="00482A10"/>
    <w:rsid w:val="004838A6"/>
    <w:rsid w:val="00484422"/>
    <w:rsid w:val="004930D1"/>
    <w:rsid w:val="004A17DE"/>
    <w:rsid w:val="004A2A4A"/>
    <w:rsid w:val="004A530C"/>
    <w:rsid w:val="004B5867"/>
    <w:rsid w:val="004B59BB"/>
    <w:rsid w:val="004C3907"/>
    <w:rsid w:val="004D059C"/>
    <w:rsid w:val="004D60A7"/>
    <w:rsid w:val="004E5CBE"/>
    <w:rsid w:val="004F6551"/>
    <w:rsid w:val="00506B51"/>
    <w:rsid w:val="0052231D"/>
    <w:rsid w:val="005225E7"/>
    <w:rsid w:val="00527A9F"/>
    <w:rsid w:val="00531B35"/>
    <w:rsid w:val="005350F6"/>
    <w:rsid w:val="00551773"/>
    <w:rsid w:val="005539DD"/>
    <w:rsid w:val="00561906"/>
    <w:rsid w:val="0056318E"/>
    <w:rsid w:val="00573DFE"/>
    <w:rsid w:val="00575DC5"/>
    <w:rsid w:val="00581720"/>
    <w:rsid w:val="00592968"/>
    <w:rsid w:val="005A0164"/>
    <w:rsid w:val="005A1D2D"/>
    <w:rsid w:val="005A3438"/>
    <w:rsid w:val="005A5124"/>
    <w:rsid w:val="005A6848"/>
    <w:rsid w:val="005B011E"/>
    <w:rsid w:val="005B27DF"/>
    <w:rsid w:val="005C0667"/>
    <w:rsid w:val="005C3B90"/>
    <w:rsid w:val="005E51F8"/>
    <w:rsid w:val="005F0AA8"/>
    <w:rsid w:val="006127D6"/>
    <w:rsid w:val="006375F8"/>
    <w:rsid w:val="006412C6"/>
    <w:rsid w:val="006433B4"/>
    <w:rsid w:val="006459C7"/>
    <w:rsid w:val="006463B7"/>
    <w:rsid w:val="00646BD5"/>
    <w:rsid w:val="00657AD6"/>
    <w:rsid w:val="00672D5C"/>
    <w:rsid w:val="00673D71"/>
    <w:rsid w:val="00685330"/>
    <w:rsid w:val="00690E69"/>
    <w:rsid w:val="006A77A1"/>
    <w:rsid w:val="006B443A"/>
    <w:rsid w:val="006C41F4"/>
    <w:rsid w:val="006E6233"/>
    <w:rsid w:val="007173C7"/>
    <w:rsid w:val="00724C35"/>
    <w:rsid w:val="007411BD"/>
    <w:rsid w:val="007418DE"/>
    <w:rsid w:val="00753039"/>
    <w:rsid w:val="0076611B"/>
    <w:rsid w:val="00780450"/>
    <w:rsid w:val="00793A87"/>
    <w:rsid w:val="007A2356"/>
    <w:rsid w:val="007A28F2"/>
    <w:rsid w:val="007B0475"/>
    <w:rsid w:val="007B2734"/>
    <w:rsid w:val="007B3734"/>
    <w:rsid w:val="007D2794"/>
    <w:rsid w:val="007D4A55"/>
    <w:rsid w:val="007E757C"/>
    <w:rsid w:val="007F7515"/>
    <w:rsid w:val="00813335"/>
    <w:rsid w:val="00816D96"/>
    <w:rsid w:val="00822FA4"/>
    <w:rsid w:val="008319DC"/>
    <w:rsid w:val="00832A4A"/>
    <w:rsid w:val="008348B5"/>
    <w:rsid w:val="00841265"/>
    <w:rsid w:val="00841560"/>
    <w:rsid w:val="00856A2B"/>
    <w:rsid w:val="0086222B"/>
    <w:rsid w:val="008639EE"/>
    <w:rsid w:val="008654B3"/>
    <w:rsid w:val="00877A81"/>
    <w:rsid w:val="008805E5"/>
    <w:rsid w:val="00880BBB"/>
    <w:rsid w:val="008858C5"/>
    <w:rsid w:val="008876AA"/>
    <w:rsid w:val="008879E1"/>
    <w:rsid w:val="0089206D"/>
    <w:rsid w:val="00896A37"/>
    <w:rsid w:val="00897BD0"/>
    <w:rsid w:val="008A4221"/>
    <w:rsid w:val="008C4A8D"/>
    <w:rsid w:val="008D345B"/>
    <w:rsid w:val="008F21B0"/>
    <w:rsid w:val="00906E8A"/>
    <w:rsid w:val="00906F3E"/>
    <w:rsid w:val="00914926"/>
    <w:rsid w:val="00927749"/>
    <w:rsid w:val="00934274"/>
    <w:rsid w:val="00950E7B"/>
    <w:rsid w:val="009522E8"/>
    <w:rsid w:val="009603A0"/>
    <w:rsid w:val="009605F9"/>
    <w:rsid w:val="0096063F"/>
    <w:rsid w:val="00967C2B"/>
    <w:rsid w:val="00972AFD"/>
    <w:rsid w:val="00985928"/>
    <w:rsid w:val="00996D1F"/>
    <w:rsid w:val="009A605F"/>
    <w:rsid w:val="009B23BC"/>
    <w:rsid w:val="009B7897"/>
    <w:rsid w:val="009B79EC"/>
    <w:rsid w:val="009D3263"/>
    <w:rsid w:val="009D5185"/>
    <w:rsid w:val="009D6984"/>
    <w:rsid w:val="009E15AD"/>
    <w:rsid w:val="009E7327"/>
    <w:rsid w:val="009E7E37"/>
    <w:rsid w:val="009F1290"/>
    <w:rsid w:val="009F27D6"/>
    <w:rsid w:val="009F4A00"/>
    <w:rsid w:val="00A20133"/>
    <w:rsid w:val="00A30FAE"/>
    <w:rsid w:val="00A4274D"/>
    <w:rsid w:val="00A4398D"/>
    <w:rsid w:val="00A513F3"/>
    <w:rsid w:val="00A670D0"/>
    <w:rsid w:val="00A94420"/>
    <w:rsid w:val="00AA2ACF"/>
    <w:rsid w:val="00AA378E"/>
    <w:rsid w:val="00AB1DF5"/>
    <w:rsid w:val="00AB6FD0"/>
    <w:rsid w:val="00AC4143"/>
    <w:rsid w:val="00AC7F5D"/>
    <w:rsid w:val="00AD5E8C"/>
    <w:rsid w:val="00AE5714"/>
    <w:rsid w:val="00AE79F1"/>
    <w:rsid w:val="00AF0AC2"/>
    <w:rsid w:val="00AF7F96"/>
    <w:rsid w:val="00B10277"/>
    <w:rsid w:val="00B51E32"/>
    <w:rsid w:val="00B61AF2"/>
    <w:rsid w:val="00B907AF"/>
    <w:rsid w:val="00B9195D"/>
    <w:rsid w:val="00BB3311"/>
    <w:rsid w:val="00BB6D93"/>
    <w:rsid w:val="00BB7406"/>
    <w:rsid w:val="00BC29BA"/>
    <w:rsid w:val="00BC3A1B"/>
    <w:rsid w:val="00BC3B30"/>
    <w:rsid w:val="00BD0F8D"/>
    <w:rsid w:val="00BE6F6F"/>
    <w:rsid w:val="00BF1E36"/>
    <w:rsid w:val="00BF47BE"/>
    <w:rsid w:val="00BF54DE"/>
    <w:rsid w:val="00BF67EA"/>
    <w:rsid w:val="00C05CC7"/>
    <w:rsid w:val="00C07EDE"/>
    <w:rsid w:val="00C114D7"/>
    <w:rsid w:val="00C11FCE"/>
    <w:rsid w:val="00C31CD4"/>
    <w:rsid w:val="00C349CC"/>
    <w:rsid w:val="00C35E61"/>
    <w:rsid w:val="00C36E00"/>
    <w:rsid w:val="00C477A0"/>
    <w:rsid w:val="00C52B76"/>
    <w:rsid w:val="00C578B5"/>
    <w:rsid w:val="00C72D8A"/>
    <w:rsid w:val="00C74F38"/>
    <w:rsid w:val="00C766CB"/>
    <w:rsid w:val="00C82E82"/>
    <w:rsid w:val="00C83012"/>
    <w:rsid w:val="00CA2A92"/>
    <w:rsid w:val="00CC0F2C"/>
    <w:rsid w:val="00CE2DDF"/>
    <w:rsid w:val="00CF3354"/>
    <w:rsid w:val="00D0284B"/>
    <w:rsid w:val="00D17CCD"/>
    <w:rsid w:val="00D25195"/>
    <w:rsid w:val="00D332D6"/>
    <w:rsid w:val="00D412DD"/>
    <w:rsid w:val="00D44739"/>
    <w:rsid w:val="00D55FD7"/>
    <w:rsid w:val="00D66FFC"/>
    <w:rsid w:val="00D76312"/>
    <w:rsid w:val="00D76AEF"/>
    <w:rsid w:val="00D964DA"/>
    <w:rsid w:val="00DA7552"/>
    <w:rsid w:val="00DC2AF0"/>
    <w:rsid w:val="00DD2FDA"/>
    <w:rsid w:val="00DD7B5D"/>
    <w:rsid w:val="00DE599E"/>
    <w:rsid w:val="00DF1EC1"/>
    <w:rsid w:val="00DF62DA"/>
    <w:rsid w:val="00E1226E"/>
    <w:rsid w:val="00E12D37"/>
    <w:rsid w:val="00E13AEF"/>
    <w:rsid w:val="00E15705"/>
    <w:rsid w:val="00E17BA2"/>
    <w:rsid w:val="00E32700"/>
    <w:rsid w:val="00E40ADF"/>
    <w:rsid w:val="00E41B81"/>
    <w:rsid w:val="00E63DEF"/>
    <w:rsid w:val="00E67ADA"/>
    <w:rsid w:val="00E74FDA"/>
    <w:rsid w:val="00E7748D"/>
    <w:rsid w:val="00E8090F"/>
    <w:rsid w:val="00E870AB"/>
    <w:rsid w:val="00E9009E"/>
    <w:rsid w:val="00E94F51"/>
    <w:rsid w:val="00EA0E93"/>
    <w:rsid w:val="00EC591F"/>
    <w:rsid w:val="00EC5A1A"/>
    <w:rsid w:val="00EE2303"/>
    <w:rsid w:val="00EF3154"/>
    <w:rsid w:val="00EF3FFA"/>
    <w:rsid w:val="00F20353"/>
    <w:rsid w:val="00F20902"/>
    <w:rsid w:val="00F340BA"/>
    <w:rsid w:val="00F5342A"/>
    <w:rsid w:val="00F70C1A"/>
    <w:rsid w:val="00F772BA"/>
    <w:rsid w:val="00F919B5"/>
    <w:rsid w:val="00FA1DE6"/>
    <w:rsid w:val="00FA6F65"/>
    <w:rsid w:val="00FC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43F0B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4F6551"/>
  </w:style>
  <w:style w:type="character" w:customStyle="1" w:styleId="eop">
    <w:name w:val="eop"/>
    <w:basedOn w:val="Standardnpsmoodstavce"/>
    <w:rsid w:val="004F6551"/>
  </w:style>
  <w:style w:type="paragraph" w:styleId="Textbubliny">
    <w:name w:val="Balloon Text"/>
    <w:basedOn w:val="Normln"/>
    <w:link w:val="TextbublinyChar"/>
    <w:uiPriority w:val="99"/>
    <w:semiHidden/>
    <w:unhideWhenUsed/>
    <w:rsid w:val="00D66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930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109</cp:revision>
  <cp:lastPrinted>2020-11-17T16:38:00Z</cp:lastPrinted>
  <dcterms:created xsi:type="dcterms:W3CDTF">2020-11-03T16:06:00Z</dcterms:created>
  <dcterms:modified xsi:type="dcterms:W3CDTF">2020-11-17T16:38:00Z</dcterms:modified>
</cp:coreProperties>
</file>